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93" w:rsidRDefault="00A56E2B" w:rsidP="00A14774">
      <w:pPr>
        <w:snapToGrid w:val="0"/>
        <w:spacing w:line="600" w:lineRule="exact"/>
        <w:ind w:leftChars="200" w:left="420"/>
        <w:jc w:val="center"/>
        <w:rPr>
          <w:rFonts w:ascii="黑体" w:eastAsia="黑体" w:hAnsi="黑体" w:cs="黑体"/>
          <w:sz w:val="30"/>
          <w:szCs w:val="30"/>
        </w:rPr>
      </w:pPr>
      <w:r>
        <w:rPr>
          <w:rFonts w:ascii="黑体" w:eastAsia="黑体" w:hAnsi="黑体" w:cs="黑体" w:hint="eastAsia"/>
          <w:sz w:val="30"/>
          <w:szCs w:val="30"/>
        </w:rPr>
        <w:t>申报文本填制说明</w:t>
      </w:r>
    </w:p>
    <w:p w:rsidR="00B81B93" w:rsidRDefault="00B81B93" w:rsidP="00A14774">
      <w:pPr>
        <w:snapToGrid w:val="0"/>
        <w:spacing w:line="600" w:lineRule="exact"/>
        <w:ind w:leftChars="200" w:left="420"/>
        <w:rPr>
          <w:rFonts w:ascii="仿宋_GB2312" w:eastAsia="仿宋_GB2312" w:hAnsi="宋体"/>
          <w:sz w:val="30"/>
          <w:szCs w:val="30"/>
        </w:rPr>
      </w:pPr>
    </w:p>
    <w:p w:rsidR="00B81B93" w:rsidRDefault="00A56E2B">
      <w:pPr>
        <w:widowControl/>
        <w:numPr>
          <w:ilvl w:val="0"/>
          <w:numId w:val="1"/>
        </w:numPr>
        <w:shd w:val="clear" w:color="auto" w:fill="FFFFFF"/>
        <w:spacing w:line="600" w:lineRule="exact"/>
        <w:ind w:firstLine="560"/>
        <w:jc w:val="lef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封面填制说明</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1.项目编号请按照</w:t>
      </w:r>
      <w:r w:rsidR="00C43B9C">
        <w:rPr>
          <w:rFonts w:ascii="仿宋_GB2312" w:eastAsia="仿宋_GB2312" w:hAnsi="宋体" w:cs="宋体" w:hint="eastAsia"/>
          <w:color w:val="333333"/>
          <w:kern w:val="0"/>
          <w:sz w:val="28"/>
          <w:szCs w:val="28"/>
        </w:rPr>
        <w:t>附件1所列的填写，</w:t>
      </w:r>
      <w:r>
        <w:rPr>
          <w:rFonts w:ascii="仿宋_GB2312" w:eastAsia="仿宋_GB2312" w:hAnsi="宋体" w:cs="宋体" w:hint="eastAsia"/>
          <w:color w:val="333333"/>
          <w:kern w:val="0"/>
          <w:sz w:val="28"/>
          <w:szCs w:val="28"/>
        </w:rPr>
        <w:t>不</w:t>
      </w:r>
      <w:r w:rsidR="00C43B9C">
        <w:rPr>
          <w:rFonts w:ascii="仿宋_GB2312" w:eastAsia="仿宋_GB2312" w:hAnsi="宋体" w:cs="宋体" w:hint="eastAsia"/>
          <w:color w:val="333333"/>
          <w:kern w:val="0"/>
          <w:sz w:val="28"/>
          <w:szCs w:val="28"/>
        </w:rPr>
        <w:t>得自行更改</w:t>
      </w:r>
      <w:r>
        <w:rPr>
          <w:rFonts w:ascii="仿宋_GB2312" w:eastAsia="仿宋_GB2312" w:hAnsi="宋体" w:cs="宋体" w:hint="eastAsia"/>
          <w:color w:val="333333"/>
          <w:kern w:val="0"/>
          <w:sz w:val="28"/>
          <w:szCs w:val="28"/>
        </w:rPr>
        <w:t>。</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2.“**年度预算项目”处请填写</w:t>
      </w:r>
      <w:r w:rsidR="00C43B9C">
        <w:rPr>
          <w:rFonts w:ascii="仿宋_GB2312" w:eastAsia="仿宋_GB2312" w:hAnsi="宋体" w:cs="宋体" w:hint="eastAsia"/>
          <w:color w:val="333333"/>
          <w:kern w:val="0"/>
          <w:sz w:val="28"/>
          <w:szCs w:val="28"/>
        </w:rPr>
        <w:t>“2018年度”</w:t>
      </w:r>
      <w:r>
        <w:rPr>
          <w:rFonts w:ascii="仿宋_GB2312" w:eastAsia="仿宋_GB2312" w:hAnsi="宋体" w:cs="宋体" w:hint="eastAsia"/>
          <w:color w:val="333333"/>
          <w:kern w:val="0"/>
          <w:sz w:val="28"/>
          <w:szCs w:val="28"/>
        </w:rPr>
        <w:t>。</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3.“项目名称”</w:t>
      </w:r>
      <w:r w:rsidR="00C43B9C">
        <w:rPr>
          <w:rFonts w:ascii="仿宋_GB2312" w:eastAsia="仿宋_GB2312" w:hAnsi="宋体" w:cs="宋体" w:hint="eastAsia"/>
          <w:color w:val="333333"/>
          <w:kern w:val="0"/>
          <w:sz w:val="28"/>
          <w:szCs w:val="28"/>
        </w:rPr>
        <w:t>请按照附件1所列填写</w:t>
      </w:r>
      <w:r>
        <w:rPr>
          <w:rFonts w:ascii="仿宋_GB2312" w:eastAsia="仿宋_GB2312" w:hAnsi="宋体" w:cs="宋体" w:hint="eastAsia"/>
          <w:color w:val="333333"/>
          <w:kern w:val="0"/>
          <w:sz w:val="28"/>
          <w:szCs w:val="28"/>
        </w:rPr>
        <w:t>，不可</w:t>
      </w:r>
      <w:r w:rsidR="00C43B9C">
        <w:rPr>
          <w:rFonts w:ascii="仿宋_GB2312" w:eastAsia="仿宋_GB2312" w:hAnsi="宋体" w:cs="宋体" w:hint="eastAsia"/>
          <w:color w:val="333333"/>
          <w:kern w:val="0"/>
          <w:sz w:val="28"/>
          <w:szCs w:val="28"/>
        </w:rPr>
        <w:t>自行更改</w:t>
      </w:r>
      <w:r>
        <w:rPr>
          <w:rFonts w:ascii="仿宋_GB2312" w:eastAsia="仿宋_GB2312" w:hAnsi="宋体" w:cs="宋体" w:hint="eastAsia"/>
          <w:color w:val="333333"/>
          <w:kern w:val="0"/>
          <w:sz w:val="28"/>
          <w:szCs w:val="28"/>
        </w:rPr>
        <w:t>。</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4.实施单位务必加盖清晰公章，并填写与公章一致的单位全称。</w:t>
      </w:r>
    </w:p>
    <w:p w:rsidR="00B81B93" w:rsidRDefault="00A56E2B">
      <w:pPr>
        <w:widowControl/>
        <w:numPr>
          <w:ilvl w:val="0"/>
          <w:numId w:val="1"/>
        </w:numPr>
        <w:shd w:val="clear" w:color="auto" w:fill="FFFFFF"/>
        <w:spacing w:line="600" w:lineRule="exact"/>
        <w:ind w:firstLine="560"/>
        <w:jc w:val="lef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基本信息模块填制说明</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1.项目预算单位为“万元”，请勿填写其他数量级。此处金额与明细表合计金额应保持完全一致，原则上应为整数。</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2.项目单位信息栏中，单位负责人姓名需与“结论”模块负责人签字保持一致，一般为单位主要领导。</w:t>
      </w:r>
    </w:p>
    <w:p w:rsidR="00B81B93" w:rsidRDefault="00A56E2B">
      <w:pPr>
        <w:widowControl/>
        <w:shd w:val="clear" w:color="auto" w:fill="FFFFFF"/>
        <w:spacing w:line="600" w:lineRule="exact"/>
        <w:ind w:firstLine="560"/>
        <w:jc w:val="lef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三、项目事项模块填制说明</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1.“项目概况”</w:t>
      </w:r>
      <w:proofErr w:type="gramStart"/>
      <w:r>
        <w:rPr>
          <w:rFonts w:ascii="仿宋_GB2312" w:eastAsia="仿宋_GB2312" w:hAnsi="宋体" w:cs="宋体" w:hint="eastAsia"/>
          <w:color w:val="333333"/>
          <w:kern w:val="0"/>
          <w:sz w:val="28"/>
          <w:szCs w:val="28"/>
        </w:rPr>
        <w:t>应总体</w:t>
      </w:r>
      <w:proofErr w:type="gramEnd"/>
      <w:r>
        <w:rPr>
          <w:rFonts w:ascii="仿宋_GB2312" w:eastAsia="仿宋_GB2312" w:hAnsi="宋体" w:cs="宋体" w:hint="eastAsia"/>
          <w:color w:val="333333"/>
          <w:kern w:val="0"/>
          <w:sz w:val="28"/>
          <w:szCs w:val="28"/>
        </w:rPr>
        <w:t>说明项目实施的必要性；说明项目立项的背景和理由（包括支持方向、受益范围和对象、预期效益、项目实施对完成工作任务或促进事业发展的意义与作用等）；说明项目申报前的前期研究和论证过程等；说明项目有关的资金和管理流程、内部管理和控制制度、项目成果以及项目技术、经济等方面及依托力量的情况。</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2.“项目单位概况”应填写单位性质、职能、人员情况、基础条件、与项目相关的历史工作等相关情况。</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3.“项目基础条件及前期工作”中“基础条件”应填写项目实施的现状、分析存在的问题，“前期工作”应说明项目前期策划和准备</w:t>
      </w:r>
      <w:r>
        <w:rPr>
          <w:rFonts w:ascii="仿宋_GB2312" w:eastAsia="仿宋_GB2312" w:hAnsi="宋体" w:cs="宋体" w:hint="eastAsia"/>
          <w:color w:val="333333"/>
          <w:kern w:val="0"/>
          <w:sz w:val="28"/>
          <w:szCs w:val="28"/>
        </w:rPr>
        <w:lastRenderedPageBreak/>
        <w:t xml:space="preserve">工作的开展情况，延续性项目应说明前期项目实施、验收、绩效评价的情况等。 </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4.“项目计划实施进度”说明项目实施的进度安排及其合理性和</w:t>
      </w:r>
      <w:proofErr w:type="gramStart"/>
      <w:r>
        <w:rPr>
          <w:rFonts w:ascii="仿宋_GB2312" w:eastAsia="仿宋_GB2312" w:hAnsi="宋体" w:cs="宋体" w:hint="eastAsia"/>
          <w:color w:val="333333"/>
          <w:kern w:val="0"/>
          <w:sz w:val="28"/>
          <w:szCs w:val="28"/>
        </w:rPr>
        <w:t>可</w:t>
      </w:r>
      <w:proofErr w:type="gramEnd"/>
      <w:r>
        <w:rPr>
          <w:rFonts w:ascii="仿宋_GB2312" w:eastAsia="仿宋_GB2312" w:hAnsi="宋体" w:cs="宋体" w:hint="eastAsia"/>
          <w:color w:val="333333"/>
          <w:kern w:val="0"/>
          <w:sz w:val="28"/>
          <w:szCs w:val="28"/>
        </w:rPr>
        <w:t>实现程度。可按季度或月度填写，也可根据项目实际情况填写。不得超过项目执行周期。</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5.“资金筹集和使用计划”说明项目所需资金的构成和来源，资金的用途、支付的计划进度等。进度要与项目计划实施进度相匹配。</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6.“项目绩效目标”参照《上海市财政支出项目绩效目标申报表》要求，申报“项目总目标”、“年度绩效目标”和“分解目标”三部分内容。项目单位申报评审文本时将该表中相应内容分别在文本中和附表1“项目绩效目标分解表”填写。绩效目标审核的主要内容包括完整性、相关性、适当性和可行性审核，重点关注资金规模与绩效目标之间是否匹配，即在</w:t>
      </w:r>
      <w:proofErr w:type="gramStart"/>
      <w:r>
        <w:rPr>
          <w:rFonts w:ascii="仿宋_GB2312" w:eastAsia="仿宋_GB2312" w:hAnsi="宋体" w:cs="宋体" w:hint="eastAsia"/>
          <w:color w:val="333333"/>
          <w:kern w:val="0"/>
          <w:sz w:val="28"/>
          <w:szCs w:val="28"/>
        </w:rPr>
        <w:t>既定资金</w:t>
      </w:r>
      <w:proofErr w:type="gramEnd"/>
      <w:r>
        <w:rPr>
          <w:rFonts w:ascii="仿宋_GB2312" w:eastAsia="仿宋_GB2312" w:hAnsi="宋体" w:cs="宋体" w:hint="eastAsia"/>
          <w:color w:val="333333"/>
          <w:kern w:val="0"/>
          <w:sz w:val="28"/>
          <w:szCs w:val="28"/>
        </w:rPr>
        <w:t>规模下，绩效目标是否过高或过低；或者要完成既定绩效目标，资金规模是否过大或过小。对于多年延续性项目，项目单位应一并提供以前年度项目绩效目标申报、评价的相关资料。</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7.“项目实施内容及预算”分类说明项目实施的主要内容、理由和措施等，如项目分类实施，应明确分类实施的主体。说明与实施内容相对应的项目预算，以及支出的额度和标准等。</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8.“项目运行管理”说明项目单位管理能力和管理制度，如投入管理、财务管理及实施中及实施后的保障措施等。</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9.“附件”列明项目直接相关的法律法规和规章制度，项目执行的主要政策文件、决定、会议纪要等立项或实施依据文件；项目研究、</w:t>
      </w:r>
      <w:r>
        <w:rPr>
          <w:rFonts w:ascii="仿宋_GB2312" w:eastAsia="仿宋_GB2312" w:hAnsi="宋体" w:cs="宋体" w:hint="eastAsia"/>
          <w:color w:val="333333"/>
          <w:kern w:val="0"/>
          <w:sz w:val="28"/>
          <w:szCs w:val="28"/>
        </w:rPr>
        <w:lastRenderedPageBreak/>
        <w:t>设计和图纸、预算或造价文件等前期工作文件；项目评审需要的反映项目单位运行和财务状况的证照、报告、报表等，及有助于专家判断的相关佐证材料和其他附件等。</w:t>
      </w:r>
    </w:p>
    <w:p w:rsidR="00B81B93" w:rsidRDefault="00A56E2B">
      <w:pPr>
        <w:widowControl/>
        <w:shd w:val="clear" w:color="auto" w:fill="FFFFFF"/>
        <w:tabs>
          <w:tab w:val="left" w:pos="511"/>
        </w:tabs>
        <w:spacing w:line="600" w:lineRule="exact"/>
        <w:ind w:firstLine="560"/>
        <w:jc w:val="lef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四、结论模块填制说明</w:t>
      </w:r>
    </w:p>
    <w:p w:rsidR="00B81B93" w:rsidRDefault="00A56E2B" w:rsidP="00C43B9C">
      <w:pPr>
        <w:spacing w:line="580" w:lineRule="exact"/>
        <w:ind w:firstLineChars="150" w:firstLine="420"/>
        <w:outlineLvl w:val="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1.“自我分析”提出项目单位对项目实施的必要性、合理性和绩效目标的初步结论，并分析项目实施过程中可能存在的困难、问题和解决措施及建议。</w:t>
      </w:r>
    </w:p>
    <w:p w:rsidR="00B81B93" w:rsidRDefault="00A56E2B">
      <w:pPr>
        <w:widowControl/>
        <w:numPr>
          <w:ilvl w:val="0"/>
          <w:numId w:val="2"/>
        </w:numPr>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“项目单位责任”财务部门、项目单位需加盖公章，并由与前</w:t>
      </w:r>
      <w:proofErr w:type="gramStart"/>
      <w:r>
        <w:rPr>
          <w:rFonts w:ascii="仿宋_GB2312" w:eastAsia="仿宋_GB2312" w:hAnsi="宋体" w:cs="宋体" w:hint="eastAsia"/>
          <w:color w:val="333333"/>
          <w:kern w:val="0"/>
          <w:sz w:val="28"/>
          <w:szCs w:val="28"/>
        </w:rPr>
        <w:t>表一致</w:t>
      </w:r>
      <w:proofErr w:type="gramEnd"/>
      <w:r>
        <w:rPr>
          <w:rFonts w:ascii="仿宋_GB2312" w:eastAsia="仿宋_GB2312" w:hAnsi="宋体" w:cs="宋体" w:hint="eastAsia"/>
          <w:color w:val="333333"/>
          <w:kern w:val="0"/>
          <w:sz w:val="28"/>
          <w:szCs w:val="28"/>
        </w:rPr>
        <w:t>的负责人签字。</w:t>
      </w:r>
      <w:r w:rsidR="00C43B9C" w:rsidRPr="00C43B9C">
        <w:rPr>
          <w:rFonts w:ascii="仿宋_GB2312" w:eastAsia="仿宋_GB2312" w:hAnsi="宋体" w:cs="宋体" w:hint="eastAsia"/>
          <w:color w:val="333333"/>
          <w:kern w:val="0"/>
          <w:sz w:val="28"/>
          <w:szCs w:val="28"/>
          <w:u w:val="single"/>
        </w:rPr>
        <w:t>转移支付部分如是学校或区属事业单位申报的，请在旁边加盖所在区教育局的公章。</w:t>
      </w:r>
    </w:p>
    <w:p w:rsidR="00B81B93" w:rsidRDefault="00A56E2B">
      <w:pPr>
        <w:widowControl/>
        <w:shd w:val="clear" w:color="auto" w:fill="FFFFFF"/>
        <w:spacing w:line="600" w:lineRule="exact"/>
        <w:ind w:firstLine="560"/>
        <w:jc w:val="lef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五、附表填制说明</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1.附表1“项目绩效目标分解表”是“项目绩效目标”部分的分解和细化。</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2.附表2“项目实施内容资金测算明细表”填列预算具体细化内容。本表为申报文本的重要组成部分，必须逐项细化填列，并与正文预算结构和开支内容保持一致。</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“实施内容”栏</w:t>
      </w:r>
      <w:proofErr w:type="gramStart"/>
      <w:r>
        <w:rPr>
          <w:rFonts w:ascii="仿宋_GB2312" w:eastAsia="仿宋_GB2312" w:hAnsi="宋体" w:cs="宋体" w:hint="eastAsia"/>
          <w:color w:val="333333"/>
          <w:kern w:val="0"/>
          <w:sz w:val="28"/>
          <w:szCs w:val="28"/>
        </w:rPr>
        <w:t>应费用化</w:t>
      </w:r>
      <w:proofErr w:type="gramEnd"/>
      <w:r>
        <w:rPr>
          <w:rFonts w:ascii="仿宋_GB2312" w:eastAsia="仿宋_GB2312" w:hAnsi="宋体" w:cs="宋体" w:hint="eastAsia"/>
          <w:color w:val="333333"/>
          <w:kern w:val="0"/>
          <w:sz w:val="28"/>
          <w:szCs w:val="28"/>
        </w:rPr>
        <w:t>，按劳务费、培训费、差旅费、资料费、交通费、餐费、设备购置费等分类填写。如项目分为多个模块均涉及以上类别，建议根据情况适当归并整合，在备注栏中说明。</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“规格型号”</w:t>
      </w:r>
      <w:proofErr w:type="gramStart"/>
      <w:r>
        <w:rPr>
          <w:rFonts w:ascii="仿宋_GB2312" w:eastAsia="仿宋_GB2312" w:hAnsi="宋体" w:cs="宋体" w:hint="eastAsia"/>
          <w:color w:val="333333"/>
          <w:kern w:val="0"/>
          <w:sz w:val="28"/>
          <w:szCs w:val="28"/>
        </w:rPr>
        <w:t>栏主要</w:t>
      </w:r>
      <w:proofErr w:type="gramEnd"/>
      <w:r>
        <w:rPr>
          <w:rFonts w:ascii="仿宋_GB2312" w:eastAsia="仿宋_GB2312" w:hAnsi="宋体" w:cs="宋体" w:hint="eastAsia"/>
          <w:color w:val="333333"/>
          <w:kern w:val="0"/>
          <w:sz w:val="28"/>
          <w:szCs w:val="28"/>
        </w:rPr>
        <w:t>针对设备购置类预算。集市采购的设备建议注明品牌及技术参数。非集市采购的设备需注明技术参数。</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“测算依据”栏应按照</w:t>
      </w:r>
      <w:proofErr w:type="gramStart"/>
      <w:r>
        <w:rPr>
          <w:rFonts w:ascii="仿宋_GB2312" w:eastAsia="仿宋_GB2312" w:hAnsi="宋体" w:cs="宋体" w:hint="eastAsia"/>
          <w:color w:val="333333"/>
          <w:kern w:val="0"/>
          <w:sz w:val="28"/>
          <w:szCs w:val="28"/>
        </w:rPr>
        <w:t>不</w:t>
      </w:r>
      <w:proofErr w:type="gramEnd"/>
      <w:r>
        <w:rPr>
          <w:rFonts w:ascii="仿宋_GB2312" w:eastAsia="仿宋_GB2312" w:hAnsi="宋体" w:cs="宋体" w:hint="eastAsia"/>
          <w:color w:val="333333"/>
          <w:kern w:val="0"/>
          <w:sz w:val="28"/>
          <w:szCs w:val="28"/>
        </w:rPr>
        <w:t>同类实施内容填写。如为差旅、培训、交通、餐饮等有明确标准规定的，应填写有关文件。如为集市采购需</w:t>
      </w:r>
      <w:r>
        <w:rPr>
          <w:rFonts w:ascii="仿宋_GB2312" w:eastAsia="仿宋_GB2312" w:hAnsi="宋体" w:cs="宋体" w:hint="eastAsia"/>
          <w:color w:val="333333"/>
          <w:kern w:val="0"/>
          <w:sz w:val="28"/>
          <w:szCs w:val="28"/>
        </w:rPr>
        <w:lastRenderedPageBreak/>
        <w:t>填写“政府采购网标价”；如为非集市采购内容需填写“市场询价”，并附询价材料；</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“备注”栏应填写执行方式（如集市采购、集中采购、分散采购、按实报销等）、测算公式（如按多少</w:t>
      </w:r>
      <w:proofErr w:type="gramStart"/>
      <w:r>
        <w:rPr>
          <w:rFonts w:ascii="仿宋_GB2312" w:eastAsia="仿宋_GB2312" w:hAnsi="宋体" w:cs="宋体" w:hint="eastAsia"/>
          <w:color w:val="333333"/>
          <w:kern w:val="0"/>
          <w:sz w:val="28"/>
          <w:szCs w:val="28"/>
        </w:rPr>
        <w:t>人次/</w:t>
      </w:r>
      <w:proofErr w:type="gramEnd"/>
      <w:r>
        <w:rPr>
          <w:rFonts w:ascii="仿宋_GB2312" w:eastAsia="仿宋_GB2312" w:hAnsi="宋体" w:cs="宋体" w:hint="eastAsia"/>
          <w:color w:val="333333"/>
          <w:kern w:val="0"/>
          <w:sz w:val="28"/>
          <w:szCs w:val="28"/>
        </w:rPr>
        <w:t>场次/天数等测算）、各</w:t>
      </w:r>
      <w:proofErr w:type="gramStart"/>
      <w:r>
        <w:rPr>
          <w:rFonts w:ascii="仿宋_GB2312" w:eastAsia="仿宋_GB2312" w:hAnsi="宋体" w:cs="宋体" w:hint="eastAsia"/>
          <w:color w:val="333333"/>
          <w:kern w:val="0"/>
          <w:sz w:val="28"/>
          <w:szCs w:val="28"/>
        </w:rPr>
        <w:t>类实施</w:t>
      </w:r>
      <w:proofErr w:type="gramEnd"/>
      <w:r>
        <w:rPr>
          <w:rFonts w:ascii="仿宋_GB2312" w:eastAsia="仿宋_GB2312" w:hAnsi="宋体" w:cs="宋体" w:hint="eastAsia"/>
          <w:color w:val="333333"/>
          <w:kern w:val="0"/>
          <w:sz w:val="28"/>
          <w:szCs w:val="28"/>
        </w:rPr>
        <w:t>内容在不同模块间的分布情况、差旅目的地等内容。</w:t>
      </w:r>
    </w:p>
    <w:p w:rsidR="00B81B93" w:rsidRDefault="00A56E2B">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为便于说明情况，项目单位也可视需要进一步提供其他必要的附表，如往年同类项目合同协议、历年执行情况等。</w:t>
      </w:r>
    </w:p>
    <w:p w:rsidR="00B81B93" w:rsidRDefault="00B81B93">
      <w:pPr>
        <w:widowControl/>
        <w:shd w:val="clear" w:color="auto" w:fill="FFFFFF"/>
        <w:spacing w:line="600" w:lineRule="exact"/>
        <w:ind w:firstLine="560"/>
        <w:jc w:val="left"/>
        <w:rPr>
          <w:rFonts w:ascii="仿宋_GB2312" w:eastAsia="仿宋_GB2312" w:hAnsi="宋体" w:cs="宋体"/>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bookmarkStart w:id="0" w:name="_GoBack"/>
      <w:bookmarkEnd w:id="0"/>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hint="eastAsia"/>
          <w:color w:val="333333"/>
          <w:kern w:val="0"/>
          <w:sz w:val="28"/>
          <w:szCs w:val="28"/>
        </w:rPr>
      </w:pPr>
    </w:p>
    <w:p w:rsidR="00C43B9C" w:rsidRDefault="00C43B9C" w:rsidP="00C43B9C">
      <w:pPr>
        <w:widowControl/>
        <w:shd w:val="clear" w:color="auto" w:fill="FFFFFF"/>
        <w:spacing w:line="64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lastRenderedPageBreak/>
        <w:t>附：项目经费支出主要费用内容包括：</w:t>
      </w:r>
    </w:p>
    <w:p w:rsidR="00C43B9C" w:rsidRDefault="00C43B9C" w:rsidP="00C43B9C">
      <w:pPr>
        <w:widowControl/>
        <w:shd w:val="clear" w:color="auto" w:fill="FFFFFF"/>
        <w:spacing w:line="64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1.差旅费：主要用于项目运行过程中开展相关考察、业务调研、学术交流等所发生的差旅费支出（含城市间交通费、住宿费、伙食补助费和市内交通费）。</w:t>
      </w:r>
    </w:p>
    <w:p w:rsidR="00C43B9C" w:rsidRDefault="00C43B9C" w:rsidP="00C43B9C">
      <w:pPr>
        <w:widowControl/>
        <w:shd w:val="clear" w:color="auto" w:fill="FFFFFF"/>
        <w:spacing w:line="64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应按照《上海市市级机关差旅费管理办法》（</w:t>
      </w:r>
      <w:proofErr w:type="gramStart"/>
      <w:r>
        <w:rPr>
          <w:rFonts w:ascii="仿宋_GB2312" w:eastAsia="仿宋_GB2312" w:hAnsi="宋体" w:cs="宋体" w:hint="eastAsia"/>
          <w:color w:val="333333"/>
          <w:kern w:val="0"/>
          <w:sz w:val="28"/>
          <w:szCs w:val="28"/>
        </w:rPr>
        <w:t>沪财行</w:t>
      </w:r>
      <w:proofErr w:type="gramEnd"/>
      <w:r>
        <w:rPr>
          <w:rFonts w:ascii="仿宋_GB2312" w:eastAsia="仿宋_GB2312" w:hAnsi="宋体" w:cs="宋体" w:hint="eastAsia"/>
          <w:color w:val="333333"/>
          <w:kern w:val="0"/>
          <w:sz w:val="28"/>
          <w:szCs w:val="28"/>
        </w:rPr>
        <w:t>〔2014〕9号）的规定分项列出，其中住宿费应按照《关于调整中央和国家机关差旅住宿费标准等有关问题的通知（财行〔2015〕497号）》的规定。应注明出差人数、出差地点、住宿天数和使用的交通工具；</w:t>
      </w:r>
    </w:p>
    <w:p w:rsidR="00C43B9C" w:rsidRDefault="00C43B9C" w:rsidP="00C43B9C">
      <w:pPr>
        <w:widowControl/>
        <w:shd w:val="clear" w:color="auto" w:fill="FFFFFF"/>
        <w:spacing w:line="64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2.培训费：主要用于项目组织开展培训的支出。</w:t>
      </w:r>
    </w:p>
    <w:p w:rsidR="00C43B9C" w:rsidRDefault="00C43B9C" w:rsidP="00C43B9C">
      <w:pPr>
        <w:widowControl/>
        <w:shd w:val="clear" w:color="auto" w:fill="FFFFFF"/>
        <w:spacing w:line="64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应按照《关于印发〈上海市市级机关培训费管理办法〉的通知》(</w:t>
      </w:r>
      <w:proofErr w:type="gramStart"/>
      <w:r>
        <w:rPr>
          <w:rFonts w:ascii="仿宋_GB2312" w:eastAsia="仿宋_GB2312" w:hAnsi="宋体" w:cs="宋体" w:hint="eastAsia"/>
          <w:color w:val="333333"/>
          <w:kern w:val="0"/>
          <w:sz w:val="28"/>
          <w:szCs w:val="28"/>
        </w:rPr>
        <w:t>沪财行</w:t>
      </w:r>
      <w:proofErr w:type="gramEnd"/>
      <w:r>
        <w:rPr>
          <w:rFonts w:ascii="仿宋_GB2312" w:eastAsia="仿宋_GB2312" w:hAnsi="宋体" w:cs="宋体" w:hint="eastAsia"/>
          <w:color w:val="333333"/>
          <w:kern w:val="0"/>
          <w:sz w:val="28"/>
          <w:szCs w:val="28"/>
        </w:rPr>
        <w:t>〔2014〕35号) 的规定执行：</w:t>
      </w:r>
    </w:p>
    <w:p w:rsidR="00C43B9C" w:rsidRDefault="00C43B9C" w:rsidP="00C43B9C">
      <w:pPr>
        <w:widowControl/>
        <w:shd w:val="clear" w:color="auto" w:fill="FFFFFF"/>
        <w:spacing w:line="600" w:lineRule="exact"/>
        <w:ind w:firstLineChars="200" w:firstLine="560"/>
        <w:jc w:val="righ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单位：元/人/天</w:t>
      </w:r>
    </w:p>
    <w:tbl>
      <w:tblPr>
        <w:tblW w:w="9510" w:type="dxa"/>
        <w:jc w:val="center"/>
        <w:tblLayout w:type="fixed"/>
        <w:tblLook w:val="04A0"/>
      </w:tblPr>
      <w:tblGrid>
        <w:gridCol w:w="1455"/>
        <w:gridCol w:w="1620"/>
        <w:gridCol w:w="1920"/>
        <w:gridCol w:w="3285"/>
        <w:gridCol w:w="1230"/>
      </w:tblGrid>
      <w:tr w:rsidR="00C43B9C" w:rsidTr="00013F59">
        <w:trPr>
          <w:trHeight w:val="585"/>
          <w:jc w:val="center"/>
        </w:trPr>
        <w:tc>
          <w:tcPr>
            <w:tcW w:w="1455" w:type="dxa"/>
            <w:tcBorders>
              <w:top w:val="single" w:sz="8" w:space="0" w:color="auto"/>
              <w:left w:val="single" w:sz="8" w:space="0" w:color="auto"/>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 xml:space="preserve">  住宿费</w:t>
            </w:r>
          </w:p>
        </w:tc>
        <w:tc>
          <w:tcPr>
            <w:tcW w:w="1620"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 xml:space="preserve">   伙食费</w:t>
            </w:r>
          </w:p>
        </w:tc>
        <w:tc>
          <w:tcPr>
            <w:tcW w:w="1920"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场地费和讲课费</w:t>
            </w:r>
          </w:p>
        </w:tc>
        <w:tc>
          <w:tcPr>
            <w:tcW w:w="3285"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资料费、交通费和其他费用</w:t>
            </w:r>
          </w:p>
        </w:tc>
        <w:tc>
          <w:tcPr>
            <w:tcW w:w="1230"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 xml:space="preserve">  合计</w:t>
            </w:r>
          </w:p>
        </w:tc>
      </w:tr>
      <w:tr w:rsidR="00C43B9C" w:rsidTr="00013F59">
        <w:trPr>
          <w:trHeight w:val="300"/>
          <w:jc w:val="center"/>
        </w:trPr>
        <w:tc>
          <w:tcPr>
            <w:tcW w:w="1455" w:type="dxa"/>
            <w:tcBorders>
              <w:top w:val="nil"/>
              <w:left w:val="single" w:sz="8" w:space="0" w:color="auto"/>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ind w:firstLineChars="200" w:firstLine="480"/>
              <w:rPr>
                <w:rFonts w:ascii="仿宋_GB2312" w:eastAsia="仿宋_GB2312" w:hAnsi="宋体" w:cs="宋体"/>
                <w:color w:val="333333"/>
                <w:kern w:val="0"/>
                <w:sz w:val="24"/>
              </w:rPr>
            </w:pPr>
            <w:r>
              <w:rPr>
                <w:rFonts w:ascii="仿宋_GB2312" w:eastAsia="仿宋_GB2312" w:hAnsi="宋体" w:cs="宋体" w:hint="eastAsia"/>
                <w:color w:val="333333"/>
                <w:kern w:val="0"/>
                <w:sz w:val="24"/>
              </w:rPr>
              <w:t>≦180</w:t>
            </w:r>
          </w:p>
        </w:tc>
        <w:tc>
          <w:tcPr>
            <w:tcW w:w="1620"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ind w:firstLineChars="200" w:firstLine="480"/>
              <w:rPr>
                <w:rFonts w:ascii="仿宋_GB2312" w:eastAsia="仿宋_GB2312" w:hAnsi="宋体" w:cs="宋体"/>
                <w:color w:val="333333"/>
                <w:kern w:val="0"/>
                <w:sz w:val="24"/>
              </w:rPr>
            </w:pPr>
            <w:r>
              <w:rPr>
                <w:rFonts w:ascii="仿宋_GB2312" w:eastAsia="仿宋_GB2312" w:hAnsi="宋体" w:cs="宋体" w:hint="eastAsia"/>
                <w:color w:val="333333"/>
                <w:kern w:val="0"/>
                <w:sz w:val="24"/>
              </w:rPr>
              <w:t>≦110</w:t>
            </w:r>
          </w:p>
        </w:tc>
        <w:tc>
          <w:tcPr>
            <w:tcW w:w="1920"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ind w:firstLineChars="200" w:firstLine="480"/>
              <w:rPr>
                <w:rFonts w:ascii="仿宋_GB2312" w:eastAsia="仿宋_GB2312" w:hAnsi="宋体" w:cs="宋体"/>
                <w:color w:val="333333"/>
                <w:kern w:val="0"/>
                <w:sz w:val="24"/>
              </w:rPr>
            </w:pPr>
            <w:r>
              <w:rPr>
                <w:rFonts w:ascii="仿宋_GB2312" w:eastAsia="仿宋_GB2312" w:hAnsi="宋体" w:cs="宋体" w:hint="eastAsia"/>
                <w:color w:val="333333"/>
                <w:kern w:val="0"/>
                <w:sz w:val="24"/>
              </w:rPr>
              <w:t>≦100</w:t>
            </w:r>
          </w:p>
        </w:tc>
        <w:tc>
          <w:tcPr>
            <w:tcW w:w="3285"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ind w:firstLineChars="200" w:firstLine="480"/>
              <w:rPr>
                <w:rFonts w:ascii="仿宋_GB2312" w:eastAsia="仿宋_GB2312" w:hAnsi="宋体" w:cs="宋体"/>
                <w:color w:val="333333"/>
                <w:kern w:val="0"/>
                <w:sz w:val="24"/>
              </w:rPr>
            </w:pPr>
            <w:r>
              <w:rPr>
                <w:rFonts w:ascii="仿宋_GB2312" w:eastAsia="仿宋_GB2312" w:hAnsi="宋体" w:cs="宋体" w:hint="eastAsia"/>
                <w:color w:val="333333"/>
                <w:kern w:val="0"/>
                <w:sz w:val="24"/>
              </w:rPr>
              <w:t>≦60</w:t>
            </w:r>
          </w:p>
        </w:tc>
        <w:tc>
          <w:tcPr>
            <w:tcW w:w="1230"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00" w:lineRule="exact"/>
              <w:rPr>
                <w:rFonts w:ascii="仿宋_GB2312" w:eastAsia="仿宋_GB2312" w:hAnsi="宋体" w:cs="宋体"/>
                <w:color w:val="333333"/>
                <w:kern w:val="0"/>
                <w:sz w:val="24"/>
              </w:rPr>
            </w:pPr>
            <w:r>
              <w:rPr>
                <w:rFonts w:ascii="仿宋_GB2312" w:eastAsia="仿宋_GB2312" w:hAnsi="宋体" w:cs="宋体" w:hint="eastAsia"/>
                <w:color w:val="333333"/>
                <w:kern w:val="0"/>
                <w:sz w:val="24"/>
              </w:rPr>
              <w:t>≦450</w:t>
            </w:r>
          </w:p>
        </w:tc>
      </w:tr>
    </w:tbl>
    <w:p w:rsidR="00C43B9C" w:rsidRDefault="00C43B9C" w:rsidP="00C43B9C">
      <w:pPr>
        <w:widowControl/>
        <w:shd w:val="clear" w:color="auto" w:fill="FFFFFF"/>
        <w:spacing w:line="64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单位：元/人/半天</w:t>
      </w:r>
    </w:p>
    <w:tbl>
      <w:tblPr>
        <w:tblW w:w="9160" w:type="dxa"/>
        <w:jc w:val="center"/>
        <w:tblInd w:w="93" w:type="dxa"/>
        <w:tblLayout w:type="fixed"/>
        <w:tblLook w:val="04A0"/>
      </w:tblPr>
      <w:tblGrid>
        <w:gridCol w:w="1975"/>
        <w:gridCol w:w="2576"/>
        <w:gridCol w:w="2209"/>
        <w:gridCol w:w="2400"/>
      </w:tblGrid>
      <w:tr w:rsidR="00C43B9C" w:rsidTr="00013F59">
        <w:trPr>
          <w:trHeight w:val="333"/>
          <w:jc w:val="center"/>
        </w:trPr>
        <w:tc>
          <w:tcPr>
            <w:tcW w:w="1975" w:type="dxa"/>
            <w:vMerge w:val="restart"/>
            <w:tcBorders>
              <w:top w:val="single" w:sz="8" w:space="0" w:color="auto"/>
              <w:left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讲课费（税后）</w:t>
            </w:r>
          </w:p>
        </w:tc>
        <w:tc>
          <w:tcPr>
            <w:tcW w:w="2576"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院士、全国知名专家</w:t>
            </w:r>
          </w:p>
        </w:tc>
        <w:tc>
          <w:tcPr>
            <w:tcW w:w="2209"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正高级技术职称</w:t>
            </w:r>
          </w:p>
        </w:tc>
        <w:tc>
          <w:tcPr>
            <w:tcW w:w="2400" w:type="dxa"/>
            <w:tcBorders>
              <w:top w:val="single" w:sz="8" w:space="0" w:color="auto"/>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副高级技术职称</w:t>
            </w:r>
          </w:p>
        </w:tc>
      </w:tr>
      <w:tr w:rsidR="00C43B9C" w:rsidTr="00013F59">
        <w:trPr>
          <w:trHeight w:val="300"/>
          <w:jc w:val="center"/>
        </w:trPr>
        <w:tc>
          <w:tcPr>
            <w:tcW w:w="1975" w:type="dxa"/>
            <w:vMerge/>
            <w:tcBorders>
              <w:left w:val="single" w:sz="8" w:space="0" w:color="auto"/>
              <w:bottom w:val="single" w:sz="8" w:space="0" w:color="auto"/>
              <w:right w:val="single" w:sz="8" w:space="0" w:color="auto"/>
            </w:tcBorders>
            <w:shd w:val="clear" w:color="auto" w:fill="auto"/>
          </w:tcPr>
          <w:p w:rsidR="00C43B9C" w:rsidRDefault="00C43B9C" w:rsidP="00013F59">
            <w:pPr>
              <w:widowControl/>
              <w:shd w:val="clear" w:color="auto" w:fill="FFFFFF"/>
              <w:spacing w:line="640" w:lineRule="exact"/>
              <w:ind w:firstLineChars="200" w:firstLine="480"/>
              <w:jc w:val="left"/>
              <w:rPr>
                <w:rFonts w:ascii="仿宋_GB2312" w:eastAsia="仿宋_GB2312" w:hAnsi="宋体" w:cs="宋体"/>
                <w:color w:val="333333"/>
                <w:kern w:val="0"/>
                <w:sz w:val="24"/>
              </w:rPr>
            </w:pPr>
          </w:p>
        </w:tc>
        <w:tc>
          <w:tcPr>
            <w:tcW w:w="2576"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ind w:firstLineChars="200" w:firstLine="480"/>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≦3000</w:t>
            </w:r>
          </w:p>
        </w:tc>
        <w:tc>
          <w:tcPr>
            <w:tcW w:w="2209"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ind w:firstLineChars="200" w:firstLine="480"/>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≦2000</w:t>
            </w:r>
          </w:p>
        </w:tc>
        <w:tc>
          <w:tcPr>
            <w:tcW w:w="2400" w:type="dxa"/>
            <w:tcBorders>
              <w:top w:val="nil"/>
              <w:left w:val="nil"/>
              <w:bottom w:val="single" w:sz="8" w:space="0" w:color="auto"/>
              <w:right w:val="single" w:sz="8" w:space="0" w:color="auto"/>
            </w:tcBorders>
            <w:shd w:val="clear" w:color="auto" w:fill="auto"/>
            <w:vAlign w:val="center"/>
          </w:tcPr>
          <w:p w:rsidR="00C43B9C" w:rsidRDefault="00C43B9C" w:rsidP="00013F59">
            <w:pPr>
              <w:widowControl/>
              <w:shd w:val="clear" w:color="auto" w:fill="FFFFFF"/>
              <w:spacing w:line="640" w:lineRule="exact"/>
              <w:ind w:firstLineChars="200" w:firstLine="480"/>
              <w:jc w:val="left"/>
              <w:rPr>
                <w:rFonts w:ascii="仿宋_GB2312" w:eastAsia="仿宋_GB2312" w:hAnsi="宋体" w:cs="宋体"/>
                <w:color w:val="333333"/>
                <w:kern w:val="0"/>
                <w:sz w:val="24"/>
              </w:rPr>
            </w:pPr>
            <w:r>
              <w:rPr>
                <w:rFonts w:ascii="仿宋_GB2312" w:eastAsia="仿宋_GB2312" w:hAnsi="宋体" w:cs="宋体" w:hint="eastAsia"/>
                <w:color w:val="333333"/>
                <w:kern w:val="0"/>
                <w:sz w:val="24"/>
              </w:rPr>
              <w:t>≦1000</w:t>
            </w:r>
          </w:p>
        </w:tc>
      </w:tr>
    </w:tbl>
    <w:p w:rsidR="00C43B9C" w:rsidRDefault="00C43B9C" w:rsidP="00C43B9C">
      <w:pPr>
        <w:widowControl/>
        <w:shd w:val="clear" w:color="auto" w:fill="FFFFFF"/>
        <w:spacing w:line="60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填报申报书时应分项列出。涉及两项及两项以上开支内容的，可在所涉及的相关经费标准合计金额内统筹使用。</w:t>
      </w:r>
    </w:p>
    <w:p w:rsidR="00C43B9C" w:rsidRDefault="00C43B9C" w:rsidP="00C43B9C">
      <w:pPr>
        <w:widowControl/>
        <w:shd w:val="clear" w:color="auto" w:fill="FFFFFF"/>
        <w:spacing w:line="60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其中因公出国培训按照《关于转发〈财政部、国家外国专家局关于印发〈因公短期出国培训费用管理办法〉的通知〉的通知》(</w:t>
      </w:r>
      <w:proofErr w:type="gramStart"/>
      <w:r>
        <w:rPr>
          <w:rFonts w:ascii="仿宋_GB2312" w:eastAsia="仿宋_GB2312" w:hAnsi="宋体" w:cs="宋体" w:hint="eastAsia"/>
          <w:color w:val="333333"/>
          <w:kern w:val="0"/>
          <w:sz w:val="28"/>
          <w:szCs w:val="28"/>
        </w:rPr>
        <w:t>沪财</w:t>
      </w:r>
      <w:r>
        <w:rPr>
          <w:rFonts w:ascii="仿宋_GB2312" w:eastAsia="仿宋_GB2312" w:hAnsi="宋体" w:cs="宋体" w:hint="eastAsia"/>
          <w:color w:val="333333"/>
          <w:kern w:val="0"/>
          <w:sz w:val="28"/>
          <w:szCs w:val="28"/>
        </w:rPr>
        <w:lastRenderedPageBreak/>
        <w:t>行</w:t>
      </w:r>
      <w:proofErr w:type="gramEnd"/>
      <w:r>
        <w:rPr>
          <w:rFonts w:ascii="仿宋_GB2312" w:eastAsia="仿宋_GB2312" w:hAnsi="宋体" w:cs="宋体" w:hint="eastAsia"/>
          <w:color w:val="333333"/>
          <w:kern w:val="0"/>
          <w:sz w:val="28"/>
          <w:szCs w:val="28"/>
        </w:rPr>
        <w:t>〔2014〕21号)和国家外国专家局、财政部关于《调整中长期出国(境)培训人员费用开支标准》的通知(外专发〔2012〕126号)的规定；</w:t>
      </w:r>
    </w:p>
    <w:p w:rsidR="00C43B9C" w:rsidRDefault="00C43B9C" w:rsidP="00C43B9C">
      <w:pPr>
        <w:widowControl/>
        <w:numPr>
          <w:ilvl w:val="0"/>
          <w:numId w:val="3"/>
        </w:numPr>
        <w:shd w:val="clear" w:color="auto" w:fill="FFFFFF"/>
        <w:spacing w:line="60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场地租赁费：主要用于项目实施过程中租赁场地而发生的支出。</w:t>
      </w:r>
    </w:p>
    <w:p w:rsidR="00C43B9C" w:rsidRDefault="00C43B9C" w:rsidP="00C43B9C">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需注明租用场次、使用时长、场地类型、收费标准。</w:t>
      </w:r>
    </w:p>
    <w:p w:rsidR="00C43B9C" w:rsidRDefault="00C43B9C" w:rsidP="00C43B9C">
      <w:pPr>
        <w:widowControl/>
        <w:numPr>
          <w:ilvl w:val="0"/>
          <w:numId w:val="3"/>
        </w:numPr>
        <w:shd w:val="clear" w:color="auto" w:fill="FFFFFF"/>
        <w:spacing w:line="60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设备费：主要用于项目运行所需设备的购置、租赁、使用等相关支出。</w:t>
      </w:r>
    </w:p>
    <w:p w:rsidR="00C43B9C" w:rsidRDefault="00C43B9C" w:rsidP="00C43B9C">
      <w:pPr>
        <w:widowControl/>
        <w:shd w:val="clear" w:color="auto" w:fill="FFFFFF"/>
        <w:spacing w:line="6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需分类分项列出，标明品牌规格型号等技术参数，标明采购方式。</w:t>
      </w:r>
    </w:p>
    <w:p w:rsidR="00C43B9C" w:rsidRDefault="00C43B9C" w:rsidP="00C43B9C">
      <w:pPr>
        <w:widowControl/>
        <w:shd w:val="clear" w:color="auto" w:fill="FFFFFF"/>
        <w:spacing w:line="6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5.材料费：主要用于项目运行过程中消耗的各种原材料、辅助材料等易耗品的采购及运输等支出。</w:t>
      </w:r>
    </w:p>
    <w:p w:rsidR="00C43B9C" w:rsidRDefault="00C43B9C" w:rsidP="00C43B9C">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6.交通费：主要用于市内交通和租赁车辆等费用。</w:t>
      </w:r>
    </w:p>
    <w:p w:rsidR="00C43B9C" w:rsidRDefault="00C43B9C" w:rsidP="00C43B9C">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市内交通实报实销，参照差旅费标准≦80元/人/天，不得发放现金。租赁车辆需注明车辆类型、乘坐人数、租车天数、收费标准等。</w:t>
      </w:r>
    </w:p>
    <w:p w:rsidR="00C43B9C" w:rsidRDefault="00C43B9C" w:rsidP="00C43B9C">
      <w:pPr>
        <w:widowControl/>
        <w:numPr>
          <w:ilvl w:val="0"/>
          <w:numId w:val="4"/>
        </w:numPr>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餐费：主要用于非本单位人员及学生活动、演出等支出。</w:t>
      </w:r>
    </w:p>
    <w:p w:rsidR="00C43B9C" w:rsidRDefault="00C43B9C" w:rsidP="00C43B9C">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参照培训费标准≦110元/人/天，统一支出，不得发放现金。</w:t>
      </w:r>
    </w:p>
    <w:p w:rsidR="00C43B9C" w:rsidRDefault="00C43B9C" w:rsidP="00C43B9C">
      <w:pPr>
        <w:widowControl/>
        <w:numPr>
          <w:ilvl w:val="0"/>
          <w:numId w:val="4"/>
        </w:numPr>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出版、文献、知识产权等费用：主要用于项目运行过程中需要支付的出版费、资料费、邮费、文献检索费、专利申请及其知识产权事务等支出。</w:t>
      </w:r>
    </w:p>
    <w:p w:rsidR="00C43B9C" w:rsidRDefault="00C43B9C" w:rsidP="00C43B9C">
      <w:pPr>
        <w:widowControl/>
        <w:numPr>
          <w:ilvl w:val="0"/>
          <w:numId w:val="4"/>
        </w:numPr>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劳务费：主要用于直接参加项目人员（项目所在单位在职人员除外）的劳务性支出。</w:t>
      </w:r>
    </w:p>
    <w:p w:rsidR="00C43B9C" w:rsidRDefault="00C43B9C" w:rsidP="00C43B9C">
      <w:pPr>
        <w:widowControl/>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需注明人数（人次）、标准、时长、劳务内容等。视劳务类型测算。</w:t>
      </w:r>
    </w:p>
    <w:p w:rsidR="00C43B9C" w:rsidRDefault="00C43B9C" w:rsidP="00C43B9C">
      <w:pPr>
        <w:widowControl/>
        <w:numPr>
          <w:ilvl w:val="0"/>
          <w:numId w:val="4"/>
        </w:numPr>
        <w:shd w:val="clear" w:color="auto" w:fill="FFFFFF"/>
        <w:spacing w:line="600" w:lineRule="exact"/>
        <w:ind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专家咨询费：主要用于项目运行过程中支付给临时聘请的咨询专家的支出。</w:t>
      </w:r>
    </w:p>
    <w:p w:rsidR="00C43B9C" w:rsidRDefault="00C43B9C" w:rsidP="00C43B9C">
      <w:pPr>
        <w:widowControl/>
        <w:shd w:val="clear" w:color="auto" w:fill="FFFFFF"/>
        <w:spacing w:line="6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lastRenderedPageBreak/>
        <w:t xml:space="preserve">    需注明人数（人次）、标准、时长、咨询内容等。参照培训费中讲课费标准。</w:t>
      </w:r>
    </w:p>
    <w:p w:rsidR="00C43B9C" w:rsidRDefault="00C43B9C" w:rsidP="00C43B9C">
      <w:pPr>
        <w:widowControl/>
        <w:shd w:val="clear" w:color="auto" w:fill="FFFFFF"/>
        <w:spacing w:line="6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以上费用凡涉及政府采购的应按照国家和本市关于服务项目政府采购的要求执行。拟委托学会、协会、基金会等各类社会团体和企业具体实施的，应严格按照规定履行政府采购程序。</w:t>
      </w:r>
    </w:p>
    <w:p w:rsidR="00C43B9C" w:rsidRDefault="00C43B9C" w:rsidP="00C43B9C">
      <w:pPr>
        <w:widowControl/>
        <w:shd w:val="clear" w:color="auto" w:fill="FFFFFF"/>
        <w:spacing w:line="6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不得填列“其他”和“不可预计费用”等。</w:t>
      </w:r>
    </w:p>
    <w:p w:rsidR="00B81B93" w:rsidRPr="00C43B9C" w:rsidRDefault="00B81B93">
      <w:pPr>
        <w:rPr>
          <w:rFonts w:ascii="仿宋_GB2312" w:eastAsia="仿宋_GB2312" w:hAnsi="宋体" w:cs="宋体"/>
          <w:color w:val="333333"/>
          <w:kern w:val="0"/>
          <w:sz w:val="28"/>
          <w:szCs w:val="28"/>
        </w:rPr>
      </w:pPr>
    </w:p>
    <w:sectPr w:rsidR="00B81B93" w:rsidRPr="00C43B9C" w:rsidSect="00B81B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2B" w:rsidRDefault="00A56E2B" w:rsidP="00B81B93">
      <w:r>
        <w:separator/>
      </w:r>
    </w:p>
  </w:endnote>
  <w:endnote w:type="continuationSeparator" w:id="1">
    <w:p w:rsidR="00A56E2B" w:rsidRDefault="00A56E2B" w:rsidP="00B81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93" w:rsidRDefault="007B758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81B93" w:rsidRDefault="007B7588">
                <w:pPr>
                  <w:snapToGrid w:val="0"/>
                  <w:rPr>
                    <w:sz w:val="18"/>
                  </w:rPr>
                </w:pPr>
                <w:r>
                  <w:rPr>
                    <w:rFonts w:hint="eastAsia"/>
                    <w:sz w:val="18"/>
                  </w:rPr>
                  <w:fldChar w:fldCharType="begin"/>
                </w:r>
                <w:r w:rsidR="00A56E2B">
                  <w:rPr>
                    <w:rFonts w:hint="eastAsia"/>
                    <w:sz w:val="18"/>
                  </w:rPr>
                  <w:instrText xml:space="preserve"> PAGE  \* MERGEFORMAT </w:instrText>
                </w:r>
                <w:r>
                  <w:rPr>
                    <w:rFonts w:hint="eastAsia"/>
                    <w:sz w:val="18"/>
                  </w:rPr>
                  <w:fldChar w:fldCharType="separate"/>
                </w:r>
                <w:r w:rsidR="00C43B9C">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2B" w:rsidRDefault="00A56E2B" w:rsidP="00B81B93">
      <w:r>
        <w:separator/>
      </w:r>
    </w:p>
  </w:footnote>
  <w:footnote w:type="continuationSeparator" w:id="1">
    <w:p w:rsidR="00A56E2B" w:rsidRDefault="00A56E2B" w:rsidP="00B81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EEA2C"/>
    <w:multiLevelType w:val="singleLevel"/>
    <w:tmpl w:val="57FEEA2C"/>
    <w:lvl w:ilvl="0">
      <w:start w:val="1"/>
      <w:numFmt w:val="chineseCounting"/>
      <w:suff w:val="nothing"/>
      <w:lvlText w:val="%1、"/>
      <w:lvlJc w:val="left"/>
    </w:lvl>
  </w:abstractNum>
  <w:abstractNum w:abstractNumId="1">
    <w:nsid w:val="58C79B97"/>
    <w:multiLevelType w:val="singleLevel"/>
    <w:tmpl w:val="58C79B97"/>
    <w:lvl w:ilvl="0">
      <w:start w:val="2"/>
      <w:numFmt w:val="decimal"/>
      <w:suff w:val="nothing"/>
      <w:lvlText w:val="%1."/>
      <w:lvlJc w:val="left"/>
    </w:lvl>
  </w:abstractNum>
  <w:abstractNum w:abstractNumId="2">
    <w:nsid w:val="58C7DAE5"/>
    <w:multiLevelType w:val="singleLevel"/>
    <w:tmpl w:val="58C7DAE5"/>
    <w:lvl w:ilvl="0">
      <w:start w:val="3"/>
      <w:numFmt w:val="decimal"/>
      <w:suff w:val="nothing"/>
      <w:lvlText w:val="%1."/>
      <w:lvlJc w:val="left"/>
    </w:lvl>
  </w:abstractNum>
  <w:abstractNum w:abstractNumId="3">
    <w:nsid w:val="58C7E175"/>
    <w:multiLevelType w:val="singleLevel"/>
    <w:tmpl w:val="58C7E175"/>
    <w:lvl w:ilvl="0">
      <w:start w:val="7"/>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2B7A31"/>
    <w:rsid w:val="002940F8"/>
    <w:rsid w:val="00657168"/>
    <w:rsid w:val="006B3A75"/>
    <w:rsid w:val="007B7588"/>
    <w:rsid w:val="00A14774"/>
    <w:rsid w:val="00A22DD1"/>
    <w:rsid w:val="00A56E2B"/>
    <w:rsid w:val="00B81B93"/>
    <w:rsid w:val="00C43B9C"/>
    <w:rsid w:val="0251247E"/>
    <w:rsid w:val="030E2467"/>
    <w:rsid w:val="0310499C"/>
    <w:rsid w:val="09C87AA8"/>
    <w:rsid w:val="0C441741"/>
    <w:rsid w:val="0DEB1775"/>
    <w:rsid w:val="104E58D3"/>
    <w:rsid w:val="16BF42DF"/>
    <w:rsid w:val="1AA82AB2"/>
    <w:rsid w:val="28D24357"/>
    <w:rsid w:val="2F5E21EE"/>
    <w:rsid w:val="30142DA0"/>
    <w:rsid w:val="32AD69B2"/>
    <w:rsid w:val="46686642"/>
    <w:rsid w:val="472B7A31"/>
    <w:rsid w:val="4BAC3BC0"/>
    <w:rsid w:val="4F390238"/>
    <w:rsid w:val="543A767E"/>
    <w:rsid w:val="5C3B5E94"/>
    <w:rsid w:val="6053160C"/>
    <w:rsid w:val="6E541A78"/>
    <w:rsid w:val="787E049A"/>
    <w:rsid w:val="78832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B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1B93"/>
    <w:pPr>
      <w:tabs>
        <w:tab w:val="center" w:pos="4153"/>
        <w:tab w:val="right" w:pos="8306"/>
      </w:tabs>
      <w:snapToGrid w:val="0"/>
      <w:jc w:val="left"/>
    </w:pPr>
    <w:rPr>
      <w:sz w:val="18"/>
    </w:rPr>
  </w:style>
  <w:style w:type="paragraph" w:styleId="a4">
    <w:name w:val="header"/>
    <w:basedOn w:val="a"/>
    <w:qFormat/>
    <w:rsid w:val="00B81B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220</Characters>
  <Application>Microsoft Office Word</Application>
  <DocSecurity>0</DocSecurity>
  <Lines>1</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jw-zhuhoujing</cp:lastModifiedBy>
  <cp:revision>2</cp:revision>
  <cp:lastPrinted>2017-03-14T09:39:00Z</cp:lastPrinted>
  <dcterms:created xsi:type="dcterms:W3CDTF">2017-04-06T03:14:00Z</dcterms:created>
  <dcterms:modified xsi:type="dcterms:W3CDTF">2017-04-06T03:14:00Z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